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C565" w14:textId="315E27FF" w:rsidR="00B632F6" w:rsidRPr="00317B99" w:rsidRDefault="00B632F6" w:rsidP="00B632F6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Załącznik nr 1 do regulaminu rekrutacji uczestników </w:t>
      </w:r>
      <w:r w:rsidR="00981406">
        <w:rPr>
          <w:rFonts w:ascii="Century Gothic" w:hAnsi="Century Gothic" w:cstheme="minorHAnsi"/>
          <w:b/>
          <w:sz w:val="20"/>
          <w:szCs w:val="20"/>
          <w:lang w:eastAsia="pl-PL"/>
        </w:rPr>
        <w:t>P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>rojektu</w:t>
      </w:r>
    </w:p>
    <w:p w14:paraId="5D4C8849" w14:textId="77777777" w:rsidR="00B632F6" w:rsidRPr="004215C8" w:rsidRDefault="00B632F6" w:rsidP="00B632F6">
      <w:pPr>
        <w:suppressAutoHyphens/>
        <w:rPr>
          <w:rFonts w:ascii="Century Gothic" w:hAnsi="Century Gothic" w:cstheme="minorHAnsi"/>
          <w:b/>
          <w:sz w:val="24"/>
          <w:szCs w:val="24"/>
          <w:lang w:eastAsia="ar-SA"/>
        </w:rPr>
      </w:pPr>
    </w:p>
    <w:p w14:paraId="5C153521" w14:textId="77777777" w:rsidR="00B632F6" w:rsidRPr="004215C8" w:rsidRDefault="00B632F6" w:rsidP="00B632F6">
      <w:pPr>
        <w:suppressAutoHyphens/>
        <w:jc w:val="center"/>
        <w:rPr>
          <w:rFonts w:ascii="Century Gothic" w:hAnsi="Century Gothic" w:cstheme="minorHAnsi"/>
          <w:b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b/>
          <w:sz w:val="24"/>
          <w:szCs w:val="24"/>
          <w:lang w:eastAsia="ar-SA"/>
        </w:rPr>
        <w:t xml:space="preserve">OŚWIADCZENIE UCZESTNIKA PROJEKTU </w:t>
      </w:r>
    </w:p>
    <w:p w14:paraId="34A4204F" w14:textId="77777777" w:rsidR="00B632F6" w:rsidRPr="004215C8" w:rsidRDefault="00B632F6" w:rsidP="00B632F6">
      <w:pPr>
        <w:suppressAutoHyphens/>
        <w:jc w:val="center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(obowiązek informacyjny realizowany w związku z art. 13 i art. 14  Rozporządzenia Parlamentu Europejskiego i Rady (UE) 2016/679)</w:t>
      </w:r>
    </w:p>
    <w:p w14:paraId="17785111" w14:textId="77777777" w:rsidR="00B632F6" w:rsidRPr="004215C8" w:rsidRDefault="00B632F6" w:rsidP="00B632F6">
      <w:p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związku z przystąpieniem do projektu pn. „</w:t>
      </w:r>
      <w:r w:rsidR="009A40D4" w:rsidRPr="004215C8">
        <w:rPr>
          <w:rFonts w:ascii="Century Gothic" w:hAnsi="Century Gothic" w:cstheme="minorHAnsi"/>
          <w:sz w:val="24"/>
          <w:szCs w:val="24"/>
        </w:rPr>
        <w:t>Podniesienie jakości wysokospecjalistycznego kształcenia podyplomowego w zakresie kardiologii</w:t>
      </w:r>
      <w:r w:rsidRPr="004215C8">
        <w:rPr>
          <w:rFonts w:ascii="Century Gothic" w:hAnsi="Century Gothic" w:cstheme="minorHAnsi"/>
          <w:sz w:val="24"/>
          <w:szCs w:val="24"/>
        </w:rPr>
        <w:t>”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 przyjmuję do wiadomości, iż:</w:t>
      </w:r>
    </w:p>
    <w:p w14:paraId="7DCAAEE5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63A49075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3B46CFB7" w14:textId="77777777" w:rsidR="00B632F6" w:rsidRPr="004215C8" w:rsidRDefault="00B632F6" w:rsidP="000F4C85">
      <w:pPr>
        <w:numPr>
          <w:ilvl w:val="1"/>
          <w:numId w:val="14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odniesieniu do zbioru „Program Operacyjny Wiedza Edukacja Rozwój”:</w:t>
      </w:r>
    </w:p>
    <w:p w14:paraId="269B78F2" w14:textId="77777777" w:rsidR="00B632F6" w:rsidRPr="004215C8" w:rsidRDefault="00B632F6" w:rsidP="000F4C85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rozporządzenia Parlamentu Europejskiego i Rady (UE) nr 1303/2013 z dnia 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357BB11C" w14:textId="77777777" w:rsidR="00B632F6" w:rsidRPr="004215C8" w:rsidRDefault="00B632F6" w:rsidP="000F4C85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rozporządzenia Parlamentu Europejskiego i Rady (UE) nr 1304/2013 z dnia 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654646CD" w14:textId="77777777" w:rsidR="00B632F6" w:rsidRPr="004215C8" w:rsidRDefault="00B632F6" w:rsidP="000F4C85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54171930" w14:textId="77777777" w:rsidR="00B632F6" w:rsidRPr="004215C8" w:rsidRDefault="00B632F6" w:rsidP="000F4C85">
      <w:pPr>
        <w:numPr>
          <w:ilvl w:val="1"/>
          <w:numId w:val="14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w odniesieniu do zbioru „Centralny system teleinformatyczny wspierający realizację programów operacyjnych”: </w:t>
      </w:r>
    </w:p>
    <w:p w14:paraId="152E23CD" w14:textId="77777777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lastRenderedPageBreak/>
        <w:t xml:space="preserve">rozporządzenia Parlamentu Europejskiego i Rady (UE) nr 1303/2013 z dnia 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6202F63" w14:textId="77777777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rozporządzenia Parlamentu Europejskiego i Rady (UE) nr 1304/2013 z dnia 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br/>
        <w:t>17 grudnia 2013 r. w sprawie Europejskiego Funduszu Społecznego i uchylającego rozporządzenie Rady (WE) nr 1081/2006,</w:t>
      </w:r>
    </w:p>
    <w:p w14:paraId="3BC6C07B" w14:textId="77777777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52D30E84" w14:textId="77777777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5E0C402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będą przetwarzane wyłącznie w celu realizacji projektu „</w:t>
      </w:r>
      <w:r w:rsidR="00262183" w:rsidRPr="004215C8">
        <w:rPr>
          <w:rFonts w:ascii="Century Gothic" w:hAnsi="Century Gothic" w:cstheme="minorHAnsi"/>
          <w:sz w:val="24"/>
          <w:szCs w:val="24"/>
        </w:rPr>
        <w:t>Podniesienie jakości wysokospecjalistycznego kształcenia podyplomowego w zakresie kardiologii</w:t>
      </w:r>
      <w:r w:rsidRPr="004215C8">
        <w:rPr>
          <w:rFonts w:ascii="Century Gothic" w:hAnsi="Century Gothic" w:cstheme="minorHAnsi"/>
          <w:sz w:val="24"/>
          <w:szCs w:val="24"/>
        </w:rPr>
        <w:t>”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1ACC4357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</w:rPr>
        <w:t xml:space="preserve">Moje dane osobowe zostały powierzone do przetwarzania Instytucji Pośredniczącej – </w:t>
      </w:r>
      <w:r w:rsidR="00262183" w:rsidRPr="004215C8">
        <w:rPr>
          <w:rFonts w:ascii="Century Gothic" w:hAnsi="Century Gothic" w:cstheme="minorHAnsi"/>
          <w:sz w:val="24"/>
          <w:szCs w:val="24"/>
        </w:rPr>
        <w:t>Ministerstwo Zdrowia</w:t>
      </w:r>
      <w:r w:rsidRPr="004215C8">
        <w:rPr>
          <w:rFonts w:ascii="Century Gothic" w:hAnsi="Century Gothic" w:cstheme="minorHAnsi"/>
          <w:sz w:val="24"/>
          <w:szCs w:val="24"/>
        </w:rPr>
        <w:t xml:space="preserve">, </w:t>
      </w:r>
      <w:r w:rsidR="00262183" w:rsidRPr="004215C8">
        <w:rPr>
          <w:rStyle w:val="w8qarf"/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262183" w:rsidRPr="004215C8">
        <w:rPr>
          <w:rFonts w:ascii="Century Gothic" w:hAnsi="Century Gothic" w:cstheme="minorHAnsi"/>
          <w:sz w:val="24"/>
          <w:szCs w:val="24"/>
        </w:rPr>
        <w:t>Miodowa 15, 00-952 Warszawa, b</w:t>
      </w:r>
      <w:r w:rsidRPr="004215C8">
        <w:rPr>
          <w:rFonts w:ascii="Century Gothic" w:hAnsi="Century Gothic" w:cstheme="minorHAnsi"/>
          <w:sz w:val="24"/>
          <w:szCs w:val="24"/>
        </w:rPr>
        <w:t>eneficjentowi realizującemu Projekt  - Gdański</w:t>
      </w:r>
      <w:r w:rsidR="00262183" w:rsidRPr="004215C8">
        <w:rPr>
          <w:rFonts w:ascii="Century Gothic" w:hAnsi="Century Gothic" w:cstheme="minorHAnsi"/>
          <w:sz w:val="24"/>
          <w:szCs w:val="24"/>
        </w:rPr>
        <w:t>emu</w:t>
      </w:r>
      <w:r w:rsidRPr="004215C8">
        <w:rPr>
          <w:rFonts w:ascii="Century Gothic" w:hAnsi="Century Gothic" w:cstheme="minorHAnsi"/>
          <w:sz w:val="24"/>
          <w:szCs w:val="24"/>
        </w:rPr>
        <w:t xml:space="preserve"> Uniwersytet</w:t>
      </w:r>
      <w:r w:rsidR="00262183" w:rsidRPr="004215C8">
        <w:rPr>
          <w:rFonts w:ascii="Century Gothic" w:hAnsi="Century Gothic" w:cstheme="minorHAnsi"/>
          <w:sz w:val="24"/>
          <w:szCs w:val="24"/>
        </w:rPr>
        <w:t>owi Medycznemu mającego</w:t>
      </w:r>
      <w:r w:rsidRPr="004215C8">
        <w:rPr>
          <w:rFonts w:ascii="Century Gothic" w:hAnsi="Century Gothic" w:cstheme="minorHAnsi"/>
          <w:sz w:val="24"/>
          <w:szCs w:val="24"/>
        </w:rPr>
        <w:t xml:space="preserve"> siedzibę przy ul. Skłodowskiej-Curie 3a, 80-210 Gdańsk. Moje dane osobowe mogą zostać przekazane podmiotom realizującym badania ewaluacyjne na zlecenie Instytucji Zarządzającej, Instytucji Pośredniczącej lub beneficjenta.  Moje dane osobowe mogą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 zostać również powierzone specjalistycznym firmom, realizującym na zlecenie Instytucji Zarządzającej, Instytucji Pośredniczącej oraz beneficjenta kontrole i audyt w ramach PO WER.</w:t>
      </w:r>
    </w:p>
    <w:p w14:paraId="29402671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lastRenderedPageBreak/>
        <w:t>Podanie danych jest warunkiem koniecznym otrzymania wsparcia, a a odmowa ich podania jest równoznaczna z brakiem możliwości udzielenia wsparcia w ramach projektu.</w:t>
      </w:r>
    </w:p>
    <w:p w14:paraId="1D0F7B9E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6062992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ciągu trzech miesięcy po zakończeniu udziału w projekcie udostępnię dane dotyczące mojego statusu na rynku pracy.</w:t>
      </w:r>
    </w:p>
    <w:p w14:paraId="6575C9B0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nie będą przekazywane do państwa trzeciego lub organizacji międzynarodowej.</w:t>
      </w:r>
    </w:p>
    <w:p w14:paraId="72C74452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nie będą poddawane zautomatyzowanemu podejmowaniu decyzji.</w:t>
      </w:r>
    </w:p>
    <w:p w14:paraId="6194E065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27715E08" w14:textId="77777777" w:rsidR="00B632F6" w:rsidRPr="004215C8" w:rsidRDefault="00B632F6" w:rsidP="000F4C85">
      <w:pPr>
        <w:numPr>
          <w:ilvl w:val="0"/>
          <w:numId w:val="13"/>
        </w:numPr>
        <w:suppressAutoHyphens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4215C8">
          <w:rPr>
            <w:rFonts w:ascii="Century Gothic" w:hAnsi="Century Gothic" w:cstheme="minorHAnsi"/>
            <w:color w:val="0000FF"/>
            <w:sz w:val="24"/>
            <w:szCs w:val="24"/>
            <w:u w:val="single"/>
            <w:lang w:eastAsia="ar-SA"/>
          </w:rPr>
          <w:t>iod@miir.gov.pl</w:t>
        </w:r>
      </w:hyperlink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 lub adres poczty piotr.malecki@gumed.edu.pl.</w:t>
      </w:r>
    </w:p>
    <w:p w14:paraId="43311C7E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Mam prawo do wniesienia skargi do organu nadzorczego, którym jest Prezes Urzędu Ochrony Danych Osobowych.</w:t>
      </w:r>
    </w:p>
    <w:p w14:paraId="4E1EE178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Mam prawo dostępu do treści swoich danych i ich sprostowania, usunięcia lub ograniczenia przetwarzania.</w:t>
      </w:r>
    </w:p>
    <w:p w14:paraId="11BC8E51" w14:textId="77777777" w:rsidR="00B632F6" w:rsidRPr="004215C8" w:rsidRDefault="00B632F6" w:rsidP="00B632F6">
      <w:pPr>
        <w:suppressAutoHyphens/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09AC651D" w14:textId="77777777" w:rsidR="00B632F6" w:rsidRDefault="00B632F6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35AFB90A" w14:textId="77777777" w:rsidR="00CB5850" w:rsidRDefault="00CB5850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315A949E" w14:textId="77777777" w:rsidR="00CB5850" w:rsidRPr="004215C8" w:rsidRDefault="00CB5850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632F6" w:rsidRPr="004215C8" w14:paraId="346D3CAB" w14:textId="77777777" w:rsidTr="00B632F6">
        <w:tc>
          <w:tcPr>
            <w:tcW w:w="4248" w:type="dxa"/>
            <w:shd w:val="clear" w:color="auto" w:fill="auto"/>
          </w:tcPr>
          <w:p w14:paraId="7B043F05" w14:textId="77777777" w:rsidR="00B632F6" w:rsidRPr="004215C8" w:rsidRDefault="00B632F6" w:rsidP="00B632F6">
            <w:pPr>
              <w:suppressAutoHyphens/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CF2A9E9" w14:textId="77777777" w:rsidR="00B632F6" w:rsidRPr="004215C8" w:rsidRDefault="00B632F6" w:rsidP="00B632F6">
            <w:pPr>
              <w:suppressAutoHyphens/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B632F6" w:rsidRPr="004215C8" w14:paraId="608288D2" w14:textId="77777777" w:rsidTr="00B632F6">
        <w:tc>
          <w:tcPr>
            <w:tcW w:w="4248" w:type="dxa"/>
            <w:shd w:val="clear" w:color="auto" w:fill="auto"/>
          </w:tcPr>
          <w:p w14:paraId="5DBD2AAF" w14:textId="77777777" w:rsidR="00B632F6" w:rsidRPr="004215C8" w:rsidRDefault="009D7AEF" w:rsidP="009D7AEF">
            <w:pPr>
              <w:suppressAutoHyphens/>
              <w:spacing w:after="60"/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</w:pPr>
            <w:r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                       </w:t>
            </w:r>
            <w:r w:rsidR="00B632F6"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D1B6F1D" w14:textId="77777777" w:rsidR="00B632F6" w:rsidRPr="004215C8" w:rsidRDefault="009D7AEF" w:rsidP="009D7AEF">
            <w:pPr>
              <w:suppressAutoHyphens/>
              <w:spacing w:after="60"/>
              <w:jc w:val="both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              </w:t>
            </w:r>
            <w:r w:rsidR="00B632F6"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>CZYTELNY PODPIS UCZESTNIKA PROJEKTU</w:t>
            </w:r>
          </w:p>
        </w:tc>
      </w:tr>
    </w:tbl>
    <w:p w14:paraId="0AC7BF9A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2C0E2C39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36C33FCE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7B73850B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19C3F494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0D8A95BB" w14:textId="65FCA611" w:rsidR="007D2BAC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0843EA89" w14:textId="30893408" w:rsidR="00EC4FC2" w:rsidRDefault="00EC4FC2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1A9DDB78" w14:textId="34F945CA" w:rsidR="00EC4FC2" w:rsidRDefault="00EC4FC2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3498E126" w14:textId="77777777" w:rsidR="00EF3652" w:rsidRPr="004215C8" w:rsidRDefault="00EF3652" w:rsidP="00DC14B7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D03CE" w14:textId="77777777" w:rsidR="007E05BF" w:rsidRDefault="007E05BF" w:rsidP="005B7210">
      <w:pPr>
        <w:spacing w:after="0" w:line="240" w:lineRule="auto"/>
      </w:pPr>
      <w:r>
        <w:separator/>
      </w:r>
    </w:p>
  </w:endnote>
  <w:endnote w:type="continuationSeparator" w:id="0">
    <w:p w14:paraId="35744BF7" w14:textId="77777777" w:rsidR="007E05BF" w:rsidRDefault="007E05BF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8F9" w14:textId="77777777" w:rsidR="00981406" w:rsidRPr="00F415B1" w:rsidRDefault="00981406" w:rsidP="001131BF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Projekt „Podniesienie jakości wysokospecjalistycznego kształcenia podyplomowego w zakresie kardiologii”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E5FB" w14:textId="77777777" w:rsidR="007E05BF" w:rsidRDefault="007E05BF" w:rsidP="005B7210">
      <w:pPr>
        <w:spacing w:after="0" w:line="240" w:lineRule="auto"/>
      </w:pPr>
      <w:r>
        <w:separator/>
      </w:r>
    </w:p>
  </w:footnote>
  <w:footnote w:type="continuationSeparator" w:id="0">
    <w:p w14:paraId="3A011D06" w14:textId="77777777" w:rsidR="007E05BF" w:rsidRDefault="007E05BF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110EE"/>
    <w:rsid w:val="002128F3"/>
    <w:rsid w:val="00213000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70EFC"/>
    <w:rsid w:val="00473B51"/>
    <w:rsid w:val="004770B4"/>
    <w:rsid w:val="0049311C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5E4DEB"/>
    <w:rsid w:val="00650BD3"/>
    <w:rsid w:val="006523A0"/>
    <w:rsid w:val="006760B3"/>
    <w:rsid w:val="006820F5"/>
    <w:rsid w:val="00692C55"/>
    <w:rsid w:val="006A077E"/>
    <w:rsid w:val="006A07C5"/>
    <w:rsid w:val="006C0FB9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6474"/>
    <w:rsid w:val="00796B63"/>
    <w:rsid w:val="007B2DE2"/>
    <w:rsid w:val="007D2BAC"/>
    <w:rsid w:val="007D7AB4"/>
    <w:rsid w:val="007E05BF"/>
    <w:rsid w:val="007E2A22"/>
    <w:rsid w:val="007E47BD"/>
    <w:rsid w:val="007E532B"/>
    <w:rsid w:val="00815160"/>
    <w:rsid w:val="00843317"/>
    <w:rsid w:val="00847AA5"/>
    <w:rsid w:val="00870520"/>
    <w:rsid w:val="008751F5"/>
    <w:rsid w:val="00886D71"/>
    <w:rsid w:val="00887376"/>
    <w:rsid w:val="00897D72"/>
    <w:rsid w:val="008D0D8C"/>
    <w:rsid w:val="008D4F41"/>
    <w:rsid w:val="00906509"/>
    <w:rsid w:val="009155A7"/>
    <w:rsid w:val="00915660"/>
    <w:rsid w:val="00927375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61F55"/>
    <w:rsid w:val="00B62CB7"/>
    <w:rsid w:val="00B632F6"/>
    <w:rsid w:val="00B92084"/>
    <w:rsid w:val="00BB136C"/>
    <w:rsid w:val="00BB5236"/>
    <w:rsid w:val="00BD11D6"/>
    <w:rsid w:val="00BE77C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C14B7"/>
    <w:rsid w:val="00DD463A"/>
    <w:rsid w:val="00DD78A9"/>
    <w:rsid w:val="00DE0D9E"/>
    <w:rsid w:val="00E338FA"/>
    <w:rsid w:val="00E40887"/>
    <w:rsid w:val="00E423BE"/>
    <w:rsid w:val="00E44B92"/>
    <w:rsid w:val="00E7114A"/>
    <w:rsid w:val="00E73662"/>
    <w:rsid w:val="00EA2F61"/>
    <w:rsid w:val="00EC3E75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4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E69F-A70D-4B48-B54A-370079DB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Juszko</cp:lastModifiedBy>
  <cp:revision>6</cp:revision>
  <cp:lastPrinted>2019-10-08T07:20:00Z</cp:lastPrinted>
  <dcterms:created xsi:type="dcterms:W3CDTF">2019-10-17T05:53:00Z</dcterms:created>
  <dcterms:modified xsi:type="dcterms:W3CDTF">2019-10-17T06:20:00Z</dcterms:modified>
</cp:coreProperties>
</file>